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2458" w:rsidRPr="00591936" w:rsidRDefault="000E3B4A" w:rsidP="00C42FA7">
      <w:pPr>
        <w:spacing w:line="20" w:lineRule="exact"/>
        <w:ind w:left="720" w:righ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5928995</wp:posOffset>
                </wp:positionH>
                <wp:positionV relativeFrom="page">
                  <wp:posOffset>697865</wp:posOffset>
                </wp:positionV>
                <wp:extent cx="1737360" cy="659130"/>
                <wp:effectExtent l="0" t="0" r="15240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sz w:val="16"/>
                                <w:szCs w:val="24"/>
                              </w:rPr>
                              <w:alias w:val="Directors"/>
                              <w:tag w:val="dir"/>
                              <w:id w:val="-83850064"/>
                              <w:lock w:val="sdtLocked"/>
                              <w:placeholder>
                                <w:docPart w:val="920787AD6D7842F58606A1A5264F4D3D"/>
                              </w:placeholder>
                            </w:sdtPr>
                            <w:sdtEndPr/>
                            <w:sdtContent>
                              <w:p w:rsidR="00CB3549" w:rsidRPr="00562389" w:rsidRDefault="00A06448" w:rsidP="00562389">
                                <w:pPr>
                                  <w:pStyle w:val="HeadDirector-"/>
                                </w:pPr>
                                <w:r w:rsidRPr="00426338">
                                  <w:t>Rigoberto Vargas, MPH</w:t>
                                </w:r>
                              </w:p>
                              <w:p w:rsidR="00CB3549" w:rsidRPr="00562389" w:rsidRDefault="00A06448" w:rsidP="00CB3549">
                                <w:pPr>
                                  <w:pStyle w:val="HeadDirectorTitle-"/>
                                </w:pPr>
                                <w:r w:rsidRPr="00562389">
                                  <w:t>Director</w:t>
                                </w:r>
                              </w:p>
                              <w:p w:rsidR="00CB3549" w:rsidRDefault="00A06448" w:rsidP="00D13C3B">
                                <w:pPr>
                                  <w:pStyle w:val="DirectorName-"/>
                                </w:pPr>
                                <w:r>
                                  <w:t>Robert Levin, MD</w:t>
                                </w:r>
                              </w:p>
                              <w:p w:rsidR="00CB3549" w:rsidRDefault="00A06448" w:rsidP="00D13C3B">
                                <w:pPr>
                                  <w:pStyle w:val="CompanyRole-"/>
                                </w:pPr>
                                <w:r w:rsidRPr="00426338">
                                  <w:t>Health Officer</w:t>
                                </w:r>
                                <w:r>
                                  <w:t>/Medical Director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6.85pt;margin-top:54.95pt;width:136.8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" o:allowincell="f" filled="f" stroked="f" strokeweight=".5pt">
                <v:path arrowok="t"/>
                <v:textbox inset=",0,0,0">
                  <w:txbxContent>
                    <w:sdt>
                      <w:sdtPr>
                        <w:rPr>
                          <w:b w:val="0"/>
                          <w:sz w:val="16"/>
                          <w:szCs w:val="24"/>
                        </w:rPr>
                        <w:alias w:val="Directors"/>
                        <w:tag w:val="dir"/>
                        <w:id w:val="-83850064"/>
                        <w:lock w:val="sdtLocked"/>
                        <w:placeholder>
                          <w:docPart w:val="920787AD6D7842F58606A1A5264F4D3D"/>
                        </w:placeholder>
                      </w:sdtPr>
                      <w:sdtEndPr/>
                      <w:sdtContent>
                        <w:p w:rsidR="00CB3549" w:rsidRPr="00562389" w:rsidRDefault="00A06448" w:rsidP="00562389">
                          <w:pPr>
                            <w:pStyle w:val="HeadDirector-"/>
                          </w:pPr>
                          <w:r w:rsidRPr="00426338">
                            <w:t>Rigoberto Vargas, MPH</w:t>
                          </w:r>
                        </w:p>
                        <w:p w:rsidR="00CB3549" w:rsidRPr="00562389" w:rsidRDefault="00A06448" w:rsidP="00CB3549">
                          <w:pPr>
                            <w:pStyle w:val="HeadDirectorTitle-"/>
                          </w:pPr>
                          <w:r w:rsidRPr="00562389">
                            <w:t>Director</w:t>
                          </w:r>
                        </w:p>
                        <w:p w:rsidR="00CB3549" w:rsidRDefault="00A06448" w:rsidP="00D13C3B">
                          <w:pPr>
                            <w:pStyle w:val="DirectorName-"/>
                          </w:pPr>
                          <w:r>
                            <w:t>Robert Levin, MD</w:t>
                          </w:r>
                        </w:p>
                        <w:p w:rsidR="00CB3549" w:rsidRDefault="00A06448" w:rsidP="00D13C3B">
                          <w:pPr>
                            <w:pStyle w:val="CompanyRole-"/>
                          </w:pPr>
                          <w:r w:rsidRPr="00426338">
                            <w:t>Health Officer</w:t>
                          </w:r>
                          <w:r>
                            <w:t>/Medical Director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8F2458" w:rsidRPr="00591936" w:rsidRDefault="00EF2A15">
      <w:pPr>
        <w:rPr>
          <w:rFonts w:ascii="Palatino Linotype" w:hAnsi="Palatino Linotype"/>
          <w:sz w:val="22"/>
          <w:szCs w:val="22"/>
        </w:rPr>
        <w:sectPr w:rsidR="008F2458" w:rsidRPr="00591936">
          <w:headerReference w:type="default" r:id="rId7"/>
          <w:footerReference w:type="default" r:id="rId8"/>
          <w:pgSz w:w="12240" w:h="15840" w:code="1"/>
          <w:pgMar w:top="2520" w:right="720" w:bottom="1440" w:left="720" w:header="720" w:footer="576" w:gutter="0"/>
          <w:cols w:space="720"/>
          <w:docGrid w:linePitch="360"/>
        </w:sectPr>
      </w:pPr>
    </w:p>
    <w:p w:rsidR="00A10DE1" w:rsidRPr="00A10DE1" w:rsidRDefault="00A10DE1" w:rsidP="00A10DE1">
      <w:pPr>
        <w:rPr>
          <w:sz w:val="20"/>
          <w:szCs w:val="20"/>
        </w:rPr>
      </w:pPr>
    </w:p>
    <w:p w:rsidR="00794521" w:rsidRDefault="00673F2C" w:rsidP="00794521">
      <w:pPr>
        <w:widowControl w:val="0"/>
        <w:tabs>
          <w:tab w:val="left" w:pos="720"/>
        </w:tabs>
        <w:spacing w:before="74"/>
        <w:ind w:left="1170" w:right="720" w:hanging="450"/>
        <w:rPr>
          <w:rFonts w:asciiTheme="majorHAnsi" w:eastAsia="Arial" w:hAnsiTheme="majorHAnsi" w:cstheme="minorBidi"/>
          <w:color w:val="23241F"/>
          <w:w w:val="105"/>
          <w:sz w:val="22"/>
          <w:szCs w:val="22"/>
        </w:rPr>
      </w:pPr>
      <w:r>
        <w:rPr>
          <w:rFonts w:asciiTheme="majorHAnsi" w:eastAsia="Arial" w:hAnsiTheme="majorHAnsi" w:cstheme="minorBidi"/>
          <w:color w:val="23241F"/>
          <w:w w:val="105"/>
          <w:sz w:val="22"/>
          <w:szCs w:val="22"/>
        </w:rPr>
        <w:t>May 8</w:t>
      </w:r>
      <w:r w:rsidR="00794521" w:rsidRPr="00794521">
        <w:rPr>
          <w:rFonts w:asciiTheme="majorHAnsi" w:eastAsia="Arial" w:hAnsiTheme="majorHAnsi" w:cstheme="minorBidi"/>
          <w:color w:val="23241F"/>
          <w:w w:val="105"/>
          <w:sz w:val="22"/>
          <w:szCs w:val="22"/>
        </w:rPr>
        <w:t>, 2017</w:t>
      </w:r>
    </w:p>
    <w:p w:rsidR="00794521" w:rsidRPr="00794521" w:rsidRDefault="00794521" w:rsidP="00794521">
      <w:pPr>
        <w:widowControl w:val="0"/>
        <w:tabs>
          <w:tab w:val="left" w:pos="720"/>
        </w:tabs>
        <w:spacing w:before="74"/>
        <w:ind w:left="1170" w:right="720" w:hanging="450"/>
        <w:rPr>
          <w:rFonts w:asciiTheme="majorHAnsi" w:eastAsia="Arial" w:hAnsiTheme="majorHAnsi" w:cstheme="minorBidi"/>
          <w:sz w:val="22"/>
          <w:szCs w:val="22"/>
        </w:rPr>
      </w:pPr>
    </w:p>
    <w:p w:rsidR="00794521" w:rsidRDefault="00794521" w:rsidP="00794521">
      <w:pPr>
        <w:tabs>
          <w:tab w:val="left" w:pos="720"/>
        </w:tabs>
        <w:ind w:left="720" w:right="720" w:hanging="450"/>
        <w:rPr>
          <w:rFonts w:asciiTheme="majorHAnsi" w:eastAsia="Arial" w:hAnsiTheme="majorHAnsi" w:cs="Arial"/>
          <w:sz w:val="22"/>
          <w:szCs w:val="22"/>
        </w:rPr>
      </w:pPr>
    </w:p>
    <w:p w:rsidR="00794521" w:rsidRDefault="00794521" w:rsidP="00794521">
      <w:pPr>
        <w:tabs>
          <w:tab w:val="left" w:pos="720"/>
        </w:tabs>
        <w:ind w:left="720" w:right="720"/>
        <w:rPr>
          <w:rFonts w:asciiTheme="majorHAnsi" w:eastAsia="Arial" w:hAnsiTheme="majorHAnsi" w:cstheme="minorBidi"/>
          <w:color w:val="23241F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TO:</w:t>
      </w:r>
      <w:r>
        <w:rPr>
          <w:rFonts w:asciiTheme="majorHAnsi" w:eastAsia="Arial" w:hAnsiTheme="majorHAnsi" w:cs="Arial"/>
          <w:sz w:val="22"/>
          <w:szCs w:val="22"/>
        </w:rPr>
        <w:tab/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All Acute Care Hospitals and Skilled Nursing Facilities in Ventura County</w:t>
      </w:r>
    </w:p>
    <w:p w:rsidR="00794521" w:rsidRDefault="00794521" w:rsidP="00794521">
      <w:pPr>
        <w:tabs>
          <w:tab w:val="left" w:pos="720"/>
        </w:tabs>
        <w:ind w:left="720" w:right="720" w:hanging="450"/>
        <w:rPr>
          <w:rFonts w:asciiTheme="majorHAnsi" w:eastAsia="Arial" w:hAnsiTheme="majorHAnsi" w:cs="Arial"/>
          <w:sz w:val="22"/>
          <w:szCs w:val="22"/>
        </w:rPr>
      </w:pPr>
    </w:p>
    <w:p w:rsidR="00794521" w:rsidRDefault="00794521" w:rsidP="00794521">
      <w:pPr>
        <w:tabs>
          <w:tab w:val="left" w:pos="720"/>
        </w:tabs>
        <w:spacing w:before="90"/>
        <w:ind w:left="720" w:right="720"/>
        <w:rPr>
          <w:rFonts w:asciiTheme="majorHAnsi" w:hAnsiTheme="majorHAnsi"/>
          <w:color w:val="23241F"/>
          <w:w w:val="105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FROM: </w:t>
      </w:r>
      <w:r>
        <w:rPr>
          <w:rFonts w:asciiTheme="majorHAnsi" w:eastAsia="Arial" w:hAnsiTheme="majorHAnsi" w:cs="Arial"/>
          <w:sz w:val="22"/>
          <w:szCs w:val="22"/>
        </w:rPr>
        <w:tab/>
      </w:r>
      <w:r w:rsidRPr="00794521">
        <w:rPr>
          <w:rFonts w:asciiTheme="majorHAnsi" w:hAnsiTheme="majorHAnsi"/>
          <w:color w:val="23241F"/>
          <w:w w:val="105"/>
          <w:sz w:val="22"/>
          <w:szCs w:val="22"/>
        </w:rPr>
        <w:t>Robert M Levin, MD</w:t>
      </w:r>
    </w:p>
    <w:p w:rsidR="00794521" w:rsidRDefault="00794521" w:rsidP="00794521">
      <w:pPr>
        <w:tabs>
          <w:tab w:val="left" w:pos="720"/>
        </w:tabs>
        <w:spacing w:before="90" w:line="363" w:lineRule="exact"/>
        <w:ind w:left="720" w:right="720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ab/>
        <w:t xml:space="preserve">Health Officer </w:t>
      </w:r>
    </w:p>
    <w:p w:rsidR="00794521" w:rsidRDefault="00794521" w:rsidP="00794521">
      <w:pPr>
        <w:tabs>
          <w:tab w:val="left" w:pos="720"/>
        </w:tabs>
        <w:spacing w:before="90" w:line="363" w:lineRule="exact"/>
        <w:ind w:left="1440" w:right="720" w:hanging="720"/>
        <w:rPr>
          <w:rFonts w:asciiTheme="majorHAnsi" w:hAnsiTheme="majorHAnsi"/>
          <w:color w:val="23241F"/>
          <w:w w:val="105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RE: </w:t>
      </w:r>
      <w:r>
        <w:rPr>
          <w:rFonts w:asciiTheme="majorHAnsi" w:eastAsia="Arial" w:hAnsiTheme="majorHAnsi" w:cs="Arial"/>
          <w:sz w:val="22"/>
          <w:szCs w:val="22"/>
        </w:rPr>
        <w:tab/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Health Officer Order for Reporting of Carbapenem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>-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Resistant 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t xml:space="preserve">Enterobacteriaceae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and</w:t>
      </w:r>
      <w:r w:rsidRPr="00794521">
        <w:rPr>
          <w:rFonts w:asciiTheme="majorHAnsi" w:eastAsia="Arial" w:hAnsiTheme="majorHAnsi" w:cstheme="minorBidi"/>
          <w:color w:val="23241F"/>
          <w:w w:val="105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Antimicrobial  Resistance</w:t>
      </w:r>
    </w:p>
    <w:p w:rsidR="00794521" w:rsidRPr="00794521" w:rsidRDefault="00794521" w:rsidP="00794521">
      <w:pPr>
        <w:spacing w:before="11"/>
        <w:ind w:left="720" w:right="720"/>
        <w:rPr>
          <w:rFonts w:asciiTheme="majorHAnsi" w:hAnsiTheme="majorHAnsi"/>
          <w:sz w:val="22"/>
          <w:szCs w:val="22"/>
        </w:rPr>
      </w:pPr>
    </w:p>
    <w:p w:rsidR="00794521" w:rsidRDefault="00794521" w:rsidP="00794521">
      <w:pPr>
        <w:spacing w:before="6"/>
        <w:ind w:right="720"/>
        <w:rPr>
          <w:rFonts w:asciiTheme="majorHAnsi" w:eastAsia="Arial" w:hAnsiTheme="majorHAnsi" w:cs="Arial"/>
          <w:sz w:val="22"/>
          <w:szCs w:val="22"/>
        </w:rPr>
      </w:pPr>
    </w:p>
    <w:p w:rsidR="00794521" w:rsidRPr="00794521" w:rsidRDefault="00794521" w:rsidP="00794521">
      <w:pPr>
        <w:spacing w:before="6"/>
        <w:ind w:right="720"/>
        <w:rPr>
          <w:rFonts w:asciiTheme="majorHAnsi" w:eastAsia="Arial" w:hAnsiTheme="majorHAnsi" w:cs="Arial"/>
          <w:sz w:val="22"/>
          <w:szCs w:val="22"/>
        </w:rPr>
      </w:pPr>
    </w:p>
    <w:p w:rsidR="00794521" w:rsidRPr="00794521" w:rsidRDefault="00794521" w:rsidP="00794521">
      <w:pPr>
        <w:widowControl w:val="0"/>
        <w:spacing w:line="277" w:lineRule="auto"/>
        <w:ind w:left="720" w:right="720"/>
        <w:rPr>
          <w:rFonts w:asciiTheme="majorHAnsi" w:eastAsia="Arial" w:hAnsiTheme="majorHAnsi" w:cstheme="minorBidi"/>
          <w:sz w:val="22"/>
          <w:szCs w:val="22"/>
        </w:rPr>
      </w:pP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In order to better understand the magnitude of the carbapenem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>-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resistant 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t>Enterobacteriaceae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 (CRE) problem and identify areas for public</w:t>
      </w:r>
      <w:r w:rsidRPr="00794521">
        <w:rPr>
          <w:rFonts w:asciiTheme="majorHAnsi" w:eastAsia="Arial" w:hAnsiTheme="majorHAnsi" w:cstheme="minorBidi"/>
          <w:color w:val="23241F"/>
          <w:w w:val="103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health intervention, I am issuing this Health Officer order.  All acute care hospitals and</w:t>
      </w:r>
      <w:r w:rsidRPr="00794521">
        <w:rPr>
          <w:rFonts w:asciiTheme="majorHAnsi" w:eastAsia="Arial" w:hAnsiTheme="majorHAnsi" w:cstheme="minorBidi"/>
          <w:color w:val="23241F"/>
          <w:w w:val="102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skilled nursing facilities shall report CRE to the Ventura County Department of Public Health (VCPH) by Confidential Morbidity Report (CMR). In addition, I am requiring all acute care</w:t>
      </w:r>
      <w:r w:rsidRPr="00794521">
        <w:rPr>
          <w:rFonts w:asciiTheme="majorHAnsi" w:eastAsia="Arial" w:hAnsiTheme="majorHAnsi" w:cstheme="minorBidi"/>
          <w:color w:val="23241F"/>
          <w:w w:val="97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hospitals and those skilled nursing facilities that generate an antibiogram to provide VCPH the most recent</w:t>
      </w:r>
      <w:r w:rsidRPr="00794521">
        <w:rPr>
          <w:rFonts w:asciiTheme="majorHAnsi" w:eastAsia="Arial" w:hAnsiTheme="majorHAnsi" w:cstheme="minorBidi"/>
          <w:color w:val="23241F"/>
          <w:w w:val="102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antibiogram each year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>.</w:t>
      </w:r>
    </w:p>
    <w:p w:rsidR="00794521" w:rsidRPr="00794521" w:rsidRDefault="00794521" w:rsidP="00794521">
      <w:pPr>
        <w:spacing w:before="1"/>
        <w:ind w:left="720" w:right="720"/>
        <w:rPr>
          <w:rFonts w:asciiTheme="majorHAnsi" w:eastAsia="Arial" w:hAnsiTheme="majorHAnsi" w:cs="Arial"/>
          <w:sz w:val="22"/>
          <w:szCs w:val="22"/>
        </w:rPr>
      </w:pPr>
    </w:p>
    <w:p w:rsidR="00794521" w:rsidRPr="00794521" w:rsidRDefault="00794521" w:rsidP="00794521">
      <w:pPr>
        <w:widowControl w:val="0"/>
        <w:spacing w:line="281" w:lineRule="auto"/>
        <w:ind w:left="720" w:right="720"/>
        <w:rPr>
          <w:rFonts w:asciiTheme="majorHAnsi" w:eastAsia="Arial" w:hAnsiTheme="majorHAnsi" w:cstheme="minorBidi"/>
          <w:sz w:val="22"/>
          <w:szCs w:val="22"/>
        </w:rPr>
      </w:pP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CRE, defined as 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t>Enterobacteriaceae (Klebsiella sp</w:t>
      </w:r>
      <w:r w:rsidRPr="00794521">
        <w:rPr>
          <w:rFonts w:asciiTheme="majorHAnsi" w:eastAsia="Arial" w:hAnsiTheme="majorHAnsi" w:cstheme="minorBidi"/>
          <w:i/>
          <w:color w:val="3D3F38"/>
          <w:sz w:val="22"/>
          <w:szCs w:val="22"/>
        </w:rPr>
        <w:t>.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t xml:space="preserve">, E. coli,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and 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t>Enterobac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lastRenderedPageBreak/>
        <w:t xml:space="preserve">ter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sp.) resistant to carbapenem antibiotics or that produce carbapenemases, are epidemiologically important healthcare-associated</w:t>
      </w:r>
      <w:r w:rsidRPr="00794521">
        <w:rPr>
          <w:rFonts w:asciiTheme="majorHAnsi" w:eastAsia="Arial" w:hAnsiTheme="majorHAnsi" w:cstheme="minorBidi"/>
          <w:color w:val="23241F"/>
          <w:w w:val="97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pathogens. Studies have shown that CRE infections are difficult to treat, the mortality rate is high, and</w:t>
      </w:r>
      <w:r w:rsidRPr="00794521">
        <w:rPr>
          <w:rFonts w:asciiTheme="majorHAnsi" w:eastAsia="Arial" w:hAnsiTheme="majorHAnsi" w:cstheme="minorBidi"/>
          <w:color w:val="23241F"/>
          <w:w w:val="102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infection is easily spread between patients in healthcare facilities. From 2010-2012, when carbapenem-resistant </w:t>
      </w:r>
      <w:r w:rsidRPr="00794521">
        <w:rPr>
          <w:rFonts w:asciiTheme="majorHAnsi" w:eastAsia="Arial" w:hAnsiTheme="majorHAnsi" w:cstheme="minorBidi"/>
          <w:i/>
          <w:color w:val="23241F"/>
          <w:sz w:val="22"/>
          <w:szCs w:val="22"/>
        </w:rPr>
        <w:t xml:space="preserve">Klebsiella pneumoniae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(CRKP), a subset of CRE, was a reportable condition, more than 2,000 cases were reported to the Los Angeles Department of Public Health. Reliable rates of CRKP and other CRE infections in healthcare facilities are not</w:t>
      </w:r>
      <w:r w:rsidRPr="00794521">
        <w:rPr>
          <w:rFonts w:asciiTheme="majorHAnsi" w:eastAsia="Arial" w:hAnsiTheme="majorHAnsi" w:cstheme="minorBidi"/>
          <w:color w:val="23241F"/>
          <w:w w:val="106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available for Ventura County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 xml:space="preserve">.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As CRE continues to grow in public health importance, reporting is necessary to monitor,</w:t>
      </w:r>
      <w:r w:rsidRPr="00794521">
        <w:rPr>
          <w:rFonts w:asciiTheme="majorHAnsi" w:eastAsia="Arial" w:hAnsiTheme="majorHAnsi" w:cstheme="minorBidi"/>
          <w:color w:val="23241F"/>
          <w:w w:val="113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prevent and control these resistant organisms to protect the public's health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>.</w:t>
      </w:r>
    </w:p>
    <w:p w:rsidR="00794521" w:rsidRPr="00794521" w:rsidRDefault="00794521" w:rsidP="00794521">
      <w:pPr>
        <w:spacing w:before="5"/>
        <w:ind w:left="720" w:right="720"/>
        <w:rPr>
          <w:rFonts w:asciiTheme="majorHAnsi" w:eastAsia="Arial" w:hAnsiTheme="majorHAnsi" w:cs="Arial"/>
          <w:sz w:val="22"/>
          <w:szCs w:val="22"/>
        </w:rPr>
      </w:pPr>
    </w:p>
    <w:p w:rsidR="00794521" w:rsidRPr="00794521" w:rsidRDefault="00794521" w:rsidP="00794521">
      <w:pPr>
        <w:widowControl w:val="0"/>
        <w:spacing w:line="278" w:lineRule="auto"/>
        <w:ind w:left="720" w:right="720"/>
        <w:rPr>
          <w:rFonts w:asciiTheme="majorHAnsi" w:eastAsia="Arial" w:hAnsiTheme="majorHAnsi" w:cstheme="minorBidi"/>
          <w:color w:val="23241F"/>
          <w:sz w:val="22"/>
          <w:szCs w:val="22"/>
        </w:rPr>
      </w:pP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An antibiogram, defined as an annual summary of susceptibility rates for selected bacterial pathogens,</w:t>
      </w:r>
      <w:r w:rsidRPr="00794521">
        <w:rPr>
          <w:rFonts w:asciiTheme="majorHAnsi" w:eastAsia="Arial" w:hAnsiTheme="majorHAnsi" w:cstheme="minorBidi"/>
          <w:color w:val="23241F"/>
          <w:w w:val="98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provides comprehensive information about local antimicrobial resistance. Within health care</w:t>
      </w:r>
      <w:r w:rsidRPr="00794521">
        <w:rPr>
          <w:rFonts w:asciiTheme="majorHAnsi" w:eastAsia="Arial" w:hAnsiTheme="majorHAnsi" w:cstheme="minorBidi"/>
          <w:color w:val="23241F"/>
          <w:w w:val="97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organizations, this information is combined with clinical expertise to guide optimal antimicrobial</w:t>
      </w:r>
      <w:r w:rsidRPr="00794521">
        <w:rPr>
          <w:rFonts w:asciiTheme="majorHAnsi" w:eastAsia="Arial" w:hAnsiTheme="majorHAnsi" w:cstheme="minorBidi"/>
          <w:color w:val="23241F"/>
          <w:w w:val="105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treatment for patients with CRE or other serious infections. Annual consolidation</w:t>
      </w:r>
      <w:r w:rsidRPr="00794521">
        <w:rPr>
          <w:rFonts w:asciiTheme="majorHAnsi" w:eastAsia="Arial" w:hAnsiTheme="majorHAnsi" w:cstheme="minorBidi"/>
          <w:color w:val="A3A3A3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of organizational</w:t>
      </w:r>
      <w:r w:rsidRPr="00794521">
        <w:rPr>
          <w:rFonts w:asciiTheme="majorHAnsi" w:eastAsia="Arial" w:hAnsiTheme="majorHAnsi" w:cstheme="minorBidi"/>
          <w:color w:val="23241F"/>
          <w:w w:val="99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antibiograms to create a community antibiogram will allow VCPH to evaluate temporal trends and</w:t>
      </w:r>
      <w:r w:rsidRPr="00794521">
        <w:rPr>
          <w:rFonts w:asciiTheme="majorHAnsi" w:eastAsia="Arial" w:hAnsiTheme="majorHAnsi" w:cstheme="minorBidi"/>
          <w:color w:val="23241F"/>
          <w:w w:val="102"/>
          <w:sz w:val="22"/>
          <w:szCs w:val="22"/>
        </w:rPr>
        <w:t xml:space="preserve">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geograph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>i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>c patterns of antimicrobial resistan</w:t>
      </w:r>
      <w:r w:rsidRPr="00794521">
        <w:rPr>
          <w:rFonts w:asciiTheme="majorHAnsi" w:eastAsia="Arial" w:hAnsiTheme="majorHAnsi" w:cstheme="minorBidi"/>
          <w:color w:val="3D3F38"/>
          <w:sz w:val="22"/>
          <w:szCs w:val="22"/>
        </w:rPr>
        <w:t xml:space="preserve">ce </w:t>
      </w:r>
      <w:r w:rsidRPr="00794521">
        <w:rPr>
          <w:rFonts w:asciiTheme="majorHAnsi" w:eastAsia="Arial" w:hAnsiTheme="majorHAnsi" w:cstheme="minorBidi"/>
          <w:color w:val="23241F"/>
          <w:sz w:val="22"/>
          <w:szCs w:val="22"/>
        </w:rPr>
        <w:t xml:space="preserve">within Ventura County and to guide control efforts. </w:t>
      </w:r>
    </w:p>
    <w:p w:rsidR="00794521" w:rsidRDefault="00794521" w:rsidP="00794521">
      <w:pPr>
        <w:spacing w:line="289" w:lineRule="auto"/>
        <w:ind w:left="720" w:right="720"/>
        <w:rPr>
          <w:rFonts w:asciiTheme="majorHAnsi" w:hAnsiTheme="majorHAnsi"/>
          <w:b/>
          <w:color w:val="1F211A"/>
          <w:w w:val="105"/>
          <w:sz w:val="22"/>
          <w:szCs w:val="22"/>
        </w:rPr>
      </w:pPr>
    </w:p>
    <w:p w:rsidR="00794521" w:rsidRPr="00BB61EF" w:rsidRDefault="00794521" w:rsidP="00794521">
      <w:pPr>
        <w:spacing w:line="289" w:lineRule="auto"/>
        <w:ind w:left="720" w:right="720"/>
        <w:rPr>
          <w:rFonts w:asciiTheme="majorHAnsi" w:eastAsia="Arial" w:hAnsiTheme="majorHAnsi" w:cs="Arial"/>
          <w:sz w:val="22"/>
          <w:szCs w:val="22"/>
        </w:rPr>
      </w:pPr>
      <w:r w:rsidRPr="00BB61EF">
        <w:rPr>
          <w:rFonts w:asciiTheme="majorHAnsi" w:hAnsiTheme="majorHAnsi"/>
          <w:b/>
          <w:color w:val="1F211A"/>
          <w:w w:val="105"/>
          <w:sz w:val="22"/>
          <w:szCs w:val="22"/>
        </w:rPr>
        <w:t xml:space="preserve">ORDER: 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>Pursuant to my authority under section 120175 of the California Health and Safety Code and Title</w:t>
      </w:r>
      <w:r w:rsidRPr="00BB61EF">
        <w:rPr>
          <w:rFonts w:asciiTheme="majorHAnsi" w:hAnsiTheme="majorHAnsi"/>
          <w:color w:val="1F211A"/>
          <w:w w:val="109"/>
          <w:sz w:val="22"/>
          <w:szCs w:val="22"/>
        </w:rPr>
        <w:t xml:space="preserve"> 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>17, sections 2500-2505, I hereby order:</w:t>
      </w:r>
    </w:p>
    <w:p w:rsidR="00794521" w:rsidRPr="00BB61EF" w:rsidRDefault="00794521" w:rsidP="00794521">
      <w:pPr>
        <w:spacing w:before="10"/>
        <w:ind w:left="720" w:right="720"/>
        <w:rPr>
          <w:rFonts w:asciiTheme="majorHAnsi" w:eastAsia="Arial" w:hAnsiTheme="majorHAnsi" w:cs="Arial"/>
          <w:sz w:val="22"/>
          <w:szCs w:val="22"/>
        </w:rPr>
      </w:pPr>
    </w:p>
    <w:p w:rsidR="00794521" w:rsidRPr="00794521" w:rsidRDefault="00794521" w:rsidP="00794521">
      <w:pPr>
        <w:pStyle w:val="ListParagraph"/>
        <w:numPr>
          <w:ilvl w:val="0"/>
          <w:numId w:val="2"/>
        </w:numPr>
        <w:tabs>
          <w:tab w:val="left" w:pos="844"/>
        </w:tabs>
        <w:spacing w:line="318" w:lineRule="auto"/>
        <w:ind w:right="720"/>
        <w:rPr>
          <w:rFonts w:asciiTheme="majorHAnsi" w:eastAsia="Arial" w:hAnsiTheme="majorHAnsi" w:cs="Arial"/>
        </w:rPr>
      </w:pPr>
      <w:r w:rsidRPr="00794521">
        <w:rPr>
          <w:rFonts w:asciiTheme="majorHAnsi" w:hAnsiTheme="majorHAnsi"/>
          <w:color w:val="1F211A"/>
          <w:w w:val="105"/>
        </w:rPr>
        <w:t>Acute care hospitals and skilled nursing facilities shall report CRE, as defined above, to VCPH by CMR within 7 calendar days of the time of identification, including a copy of the</w:t>
      </w:r>
      <w:r w:rsidRPr="00794521">
        <w:rPr>
          <w:rFonts w:asciiTheme="majorHAnsi" w:hAnsiTheme="majorHAnsi"/>
          <w:color w:val="1F211A"/>
          <w:w w:val="111"/>
        </w:rPr>
        <w:t xml:space="preserve"> </w:t>
      </w:r>
      <w:r w:rsidRPr="00794521">
        <w:rPr>
          <w:rFonts w:asciiTheme="majorHAnsi" w:hAnsiTheme="majorHAnsi"/>
          <w:color w:val="1F211A"/>
          <w:w w:val="105"/>
        </w:rPr>
        <w:t>laboratory report. Laboratories already reporting via automated Electronic Laboratory Reporting should continue to do so.</w:t>
      </w:r>
    </w:p>
    <w:p w:rsidR="00794521" w:rsidRPr="00794521" w:rsidRDefault="00794521" w:rsidP="00794521">
      <w:pPr>
        <w:pStyle w:val="ListParagraph"/>
        <w:numPr>
          <w:ilvl w:val="0"/>
          <w:numId w:val="2"/>
        </w:numPr>
        <w:tabs>
          <w:tab w:val="left" w:pos="844"/>
        </w:tabs>
        <w:spacing w:before="8" w:line="317" w:lineRule="auto"/>
        <w:ind w:right="720"/>
        <w:rPr>
          <w:rFonts w:asciiTheme="majorHAnsi" w:eastAsia="Arial" w:hAnsiTheme="majorHAnsi" w:cs="Arial"/>
        </w:rPr>
      </w:pPr>
      <w:r w:rsidRPr="00794521">
        <w:rPr>
          <w:rFonts w:asciiTheme="majorHAnsi" w:hAnsiTheme="majorHAnsi"/>
          <w:color w:val="1F211A"/>
          <w:w w:val="105"/>
        </w:rPr>
        <w:t>Acute care hospitals and skilled nursing facilities shall submit an antibiogram with susceptibilities</w:t>
      </w:r>
      <w:r w:rsidRPr="00794521">
        <w:rPr>
          <w:rFonts w:asciiTheme="majorHAnsi" w:hAnsiTheme="majorHAnsi"/>
          <w:color w:val="1F211A"/>
          <w:w w:val="104"/>
        </w:rPr>
        <w:t xml:space="preserve"> </w:t>
      </w:r>
      <w:r w:rsidRPr="00794521">
        <w:rPr>
          <w:rFonts w:asciiTheme="majorHAnsi" w:hAnsiTheme="majorHAnsi"/>
          <w:color w:val="1F211A"/>
          <w:w w:val="105"/>
        </w:rPr>
        <w:t>defined using Clinical Laboratory Standards Institute criteria, in an electronic format to VCPH on an annual basis.  This provision shall not apply to skilled nursing facilities that do</w:t>
      </w:r>
      <w:r w:rsidRPr="00794521">
        <w:rPr>
          <w:rFonts w:asciiTheme="majorHAnsi" w:hAnsiTheme="majorHAnsi"/>
          <w:color w:val="1F211A"/>
          <w:w w:val="107"/>
        </w:rPr>
        <w:t xml:space="preserve"> </w:t>
      </w:r>
      <w:r w:rsidRPr="00794521">
        <w:rPr>
          <w:rFonts w:asciiTheme="majorHAnsi" w:hAnsiTheme="majorHAnsi"/>
          <w:color w:val="1F211A"/>
          <w:w w:val="105"/>
        </w:rPr>
        <w:t>not annually create an antibiogram.</w:t>
      </w:r>
    </w:p>
    <w:p w:rsidR="00794521" w:rsidRPr="00BB61EF" w:rsidRDefault="00794521" w:rsidP="00794521">
      <w:pPr>
        <w:spacing w:before="9"/>
        <w:ind w:left="720" w:right="720"/>
        <w:rPr>
          <w:rFonts w:asciiTheme="majorHAnsi" w:eastAsia="Arial" w:hAnsiTheme="majorHAnsi" w:cs="Arial"/>
          <w:sz w:val="22"/>
          <w:szCs w:val="22"/>
        </w:rPr>
      </w:pPr>
    </w:p>
    <w:p w:rsidR="00794521" w:rsidRDefault="00794521" w:rsidP="00794521">
      <w:pPr>
        <w:ind w:left="720" w:right="720"/>
        <w:jc w:val="both"/>
        <w:rPr>
          <w:rFonts w:asciiTheme="majorHAnsi" w:hAnsiTheme="majorHAnsi"/>
          <w:color w:val="1F211A"/>
          <w:sz w:val="22"/>
          <w:szCs w:val="22"/>
        </w:rPr>
      </w:pPr>
      <w:r w:rsidRPr="00BB61EF">
        <w:rPr>
          <w:rFonts w:asciiTheme="majorHAnsi" w:hAnsiTheme="majorHAnsi"/>
          <w:color w:val="1F211A"/>
          <w:sz w:val="22"/>
          <w:szCs w:val="22"/>
        </w:rPr>
        <w:t>Complia</w:t>
      </w:r>
      <w:r>
        <w:rPr>
          <w:rFonts w:asciiTheme="majorHAnsi" w:hAnsiTheme="majorHAnsi"/>
          <w:color w:val="1F211A"/>
          <w:sz w:val="22"/>
          <w:szCs w:val="22"/>
        </w:rPr>
        <w:t>nce with the order is required by the following dates</w:t>
      </w:r>
      <w:r w:rsidRPr="00BB61EF">
        <w:rPr>
          <w:rFonts w:asciiTheme="majorHAnsi" w:hAnsiTheme="majorHAnsi"/>
          <w:color w:val="1F211A"/>
          <w:sz w:val="22"/>
          <w:szCs w:val="22"/>
        </w:rPr>
        <w:t>:</w:t>
      </w:r>
    </w:p>
    <w:p w:rsidR="00794521" w:rsidRDefault="00794521" w:rsidP="00794521">
      <w:pPr>
        <w:ind w:left="720" w:right="720"/>
        <w:jc w:val="both"/>
        <w:rPr>
          <w:rFonts w:asciiTheme="majorHAnsi" w:eastAsia="Arial" w:hAnsiTheme="majorHAnsi" w:cs="Arial"/>
          <w:sz w:val="22"/>
          <w:szCs w:val="22"/>
        </w:rPr>
      </w:pPr>
    </w:p>
    <w:p w:rsidR="00794521" w:rsidRPr="00794521" w:rsidRDefault="00794521" w:rsidP="00794521">
      <w:pPr>
        <w:pStyle w:val="ListParagraph"/>
        <w:numPr>
          <w:ilvl w:val="1"/>
          <w:numId w:val="1"/>
        </w:numPr>
        <w:ind w:right="720"/>
        <w:jc w:val="both"/>
        <w:rPr>
          <w:rFonts w:asciiTheme="majorHAnsi" w:eastAsia="Arial" w:hAnsiTheme="majorHAnsi" w:cs="Arial"/>
        </w:rPr>
      </w:pPr>
      <w:r w:rsidRPr="00794521">
        <w:rPr>
          <w:rFonts w:asciiTheme="majorHAnsi" w:hAnsiTheme="majorHAnsi"/>
          <w:color w:val="1F211A"/>
          <w:w w:val="105"/>
        </w:rPr>
        <w:t>Acute care hospitals and skilled nursing facilities shall report clinical</w:t>
      </w:r>
      <w:r w:rsidRPr="00794521">
        <w:rPr>
          <w:rFonts w:asciiTheme="majorHAnsi" w:hAnsiTheme="majorHAnsi"/>
          <w:color w:val="1F211A"/>
          <w:w w:val="104"/>
        </w:rPr>
        <w:t xml:space="preserve"> </w:t>
      </w:r>
      <w:r w:rsidRPr="00794521">
        <w:rPr>
          <w:rFonts w:asciiTheme="majorHAnsi" w:hAnsiTheme="majorHAnsi"/>
          <w:color w:val="1F211A"/>
          <w:w w:val="105"/>
        </w:rPr>
        <w:t>laboratory CRE-positive tests collected from January 1, 2017</w:t>
      </w:r>
    </w:p>
    <w:p w:rsidR="00794521" w:rsidRPr="00794521" w:rsidRDefault="00794521" w:rsidP="00794521">
      <w:pPr>
        <w:pStyle w:val="ListParagraph"/>
        <w:ind w:left="1217" w:right="720"/>
        <w:jc w:val="both"/>
        <w:rPr>
          <w:rFonts w:asciiTheme="majorHAnsi" w:eastAsia="Arial" w:hAnsiTheme="majorHAnsi" w:cs="Arial"/>
        </w:rPr>
      </w:pPr>
    </w:p>
    <w:p w:rsidR="00794521" w:rsidRPr="00794521" w:rsidRDefault="00794521" w:rsidP="00794521">
      <w:pPr>
        <w:pStyle w:val="ListParagraph"/>
        <w:numPr>
          <w:ilvl w:val="1"/>
          <w:numId w:val="1"/>
        </w:numPr>
        <w:ind w:right="720"/>
        <w:jc w:val="both"/>
        <w:rPr>
          <w:rFonts w:asciiTheme="majorHAnsi" w:eastAsia="Arial" w:hAnsiTheme="majorHAnsi" w:cs="Arial"/>
        </w:rPr>
      </w:pPr>
      <w:r w:rsidRPr="00794521">
        <w:rPr>
          <w:rFonts w:asciiTheme="majorHAnsi" w:hAnsiTheme="majorHAnsi"/>
          <w:color w:val="1F211A"/>
          <w:w w:val="105"/>
        </w:rPr>
        <w:t xml:space="preserve">Acute care hospitals and skilled nursing facilities that create an </w:t>
      </w:r>
      <w:r w:rsidRPr="00794521">
        <w:rPr>
          <w:color w:val="1F211A"/>
        </w:rPr>
        <w:t>antibiogram</w:t>
      </w:r>
      <w:r w:rsidRPr="00794521">
        <w:rPr>
          <w:rFonts w:asciiTheme="majorHAnsi" w:hAnsiTheme="majorHAnsi"/>
          <w:color w:val="1F211A"/>
          <w:w w:val="105"/>
        </w:rPr>
        <w:t xml:space="preserve"> shall complete the</w:t>
      </w:r>
      <w:r w:rsidRPr="00794521">
        <w:rPr>
          <w:rFonts w:asciiTheme="majorHAnsi" w:hAnsiTheme="majorHAnsi"/>
          <w:color w:val="1F211A"/>
          <w:w w:val="113"/>
        </w:rPr>
        <w:t xml:space="preserve"> </w:t>
      </w:r>
      <w:hyperlink r:id="rId9" w:history="1">
        <w:r w:rsidRPr="0008703C">
          <w:rPr>
            <w:rStyle w:val="Hyperlink"/>
            <w:rFonts w:asciiTheme="majorHAnsi" w:hAnsiTheme="majorHAnsi"/>
            <w:w w:val="105"/>
          </w:rPr>
          <w:t>antibiogram</w:t>
        </w:r>
      </w:hyperlink>
      <w:r w:rsidRPr="00794521">
        <w:rPr>
          <w:rFonts w:asciiTheme="majorHAnsi" w:hAnsiTheme="majorHAnsi"/>
          <w:color w:val="1F211A"/>
          <w:w w:val="105"/>
        </w:rPr>
        <w:t xml:space="preserve"> electronically by February 15 each year for the previous year</w:t>
      </w:r>
      <w:r w:rsidR="00DE2647">
        <w:rPr>
          <w:rFonts w:asciiTheme="majorHAnsi" w:hAnsiTheme="majorHAnsi"/>
          <w:color w:val="1F211A"/>
          <w:w w:val="105"/>
        </w:rPr>
        <w:t>.</w:t>
      </w:r>
      <w:r w:rsidRPr="00794521">
        <w:rPr>
          <w:rFonts w:asciiTheme="majorHAnsi" w:hAnsiTheme="majorHAnsi"/>
          <w:color w:val="1F211A"/>
          <w:w w:val="105"/>
        </w:rPr>
        <w:t xml:space="preserve"> </w:t>
      </w:r>
      <w:proofErr w:type="spellStart"/>
      <w:r w:rsidR="00DE2647">
        <w:rPr>
          <w:rFonts w:asciiTheme="majorHAnsi" w:hAnsiTheme="majorHAnsi"/>
          <w:color w:val="1F211A"/>
          <w:w w:val="105"/>
        </w:rPr>
        <w:t>Antibiograms</w:t>
      </w:r>
      <w:proofErr w:type="spellEnd"/>
      <w:r w:rsidR="00DE2647">
        <w:rPr>
          <w:rFonts w:asciiTheme="majorHAnsi" w:hAnsiTheme="majorHAnsi"/>
          <w:color w:val="1F211A"/>
          <w:w w:val="105"/>
        </w:rPr>
        <w:t xml:space="preserve"> for 2016 shall be submitted by July 1.2017</w:t>
      </w:r>
    </w:p>
    <w:p w:rsidR="00794521" w:rsidRDefault="00794521" w:rsidP="00794521">
      <w:pPr>
        <w:ind w:left="720" w:right="720"/>
        <w:jc w:val="both"/>
        <w:rPr>
          <w:rFonts w:asciiTheme="majorHAnsi" w:hAnsiTheme="majorHAnsi"/>
          <w:b/>
          <w:color w:val="1F211A"/>
          <w:w w:val="105"/>
          <w:sz w:val="22"/>
          <w:szCs w:val="22"/>
        </w:rPr>
      </w:pPr>
    </w:p>
    <w:p w:rsidR="00794521" w:rsidRPr="00BB61EF" w:rsidRDefault="00794521" w:rsidP="00794521">
      <w:pPr>
        <w:ind w:left="720" w:right="720"/>
        <w:jc w:val="both"/>
        <w:rPr>
          <w:rFonts w:asciiTheme="majorHAnsi" w:eastAsia="Arial" w:hAnsiTheme="majorHAnsi" w:cs="Arial"/>
          <w:sz w:val="22"/>
          <w:szCs w:val="22"/>
        </w:rPr>
      </w:pPr>
      <w:r w:rsidRPr="00BB61EF">
        <w:rPr>
          <w:rFonts w:asciiTheme="majorHAnsi" w:hAnsiTheme="majorHAnsi"/>
          <w:b/>
          <w:color w:val="1F211A"/>
          <w:w w:val="105"/>
          <w:sz w:val="22"/>
          <w:szCs w:val="22"/>
        </w:rPr>
        <w:t xml:space="preserve">DURATION OF ORDER: 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>This Order will remain in effect until rescinded by the Health Officer.</w:t>
      </w:r>
    </w:p>
    <w:p w:rsidR="00794521" w:rsidRPr="00BB61EF" w:rsidRDefault="00794521" w:rsidP="00794521">
      <w:pPr>
        <w:ind w:left="720" w:right="720"/>
        <w:rPr>
          <w:rFonts w:asciiTheme="majorHAnsi" w:eastAsia="Arial" w:hAnsiTheme="majorHAnsi" w:cs="Arial"/>
          <w:sz w:val="22"/>
          <w:szCs w:val="22"/>
        </w:rPr>
      </w:pPr>
    </w:p>
    <w:p w:rsidR="00794521" w:rsidRDefault="00794521" w:rsidP="00794521">
      <w:pPr>
        <w:spacing w:before="1"/>
        <w:ind w:left="720" w:right="720"/>
      </w:pPr>
      <w:r w:rsidRPr="00BB61EF">
        <w:rPr>
          <w:rFonts w:asciiTheme="majorHAnsi" w:hAnsiTheme="majorHAnsi"/>
          <w:color w:val="1F211A"/>
          <w:w w:val="105"/>
          <w:sz w:val="22"/>
          <w:szCs w:val="22"/>
        </w:rPr>
        <w:lastRenderedPageBreak/>
        <w:t>Information on CRE and guidelines for control of CRE infections in health care facilities are available on</w:t>
      </w:r>
      <w:r w:rsidRPr="00BB61EF">
        <w:rPr>
          <w:rFonts w:asciiTheme="majorHAnsi" w:hAnsiTheme="majorHAnsi"/>
          <w:color w:val="1F211A"/>
          <w:w w:val="110"/>
          <w:sz w:val="22"/>
          <w:szCs w:val="22"/>
        </w:rPr>
        <w:t xml:space="preserve"> 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 xml:space="preserve">the </w:t>
      </w:r>
      <w:hyperlink r:id="rId10" w:history="1">
        <w:r w:rsidRPr="008537B0">
          <w:rPr>
            <w:rStyle w:val="Hyperlink"/>
            <w:rFonts w:asciiTheme="majorHAnsi" w:hAnsiTheme="majorHAnsi"/>
            <w:w w:val="105"/>
            <w:sz w:val="22"/>
            <w:szCs w:val="22"/>
          </w:rPr>
          <w:t>VCPH website</w:t>
        </w:r>
      </w:hyperlink>
      <w:r w:rsidR="009F2576">
        <w:rPr>
          <w:rStyle w:val="Hyperlink"/>
          <w:rFonts w:asciiTheme="majorHAnsi" w:hAnsiTheme="majorHAnsi"/>
          <w:w w:val="105"/>
          <w:sz w:val="22"/>
          <w:szCs w:val="22"/>
        </w:rPr>
        <w:t xml:space="preserve"> </w:t>
      </w:r>
      <w:r w:rsidR="009F2576" w:rsidRPr="0008703C">
        <w:rPr>
          <w:rStyle w:val="Hyperlink"/>
          <w:rFonts w:asciiTheme="majorHAnsi" w:hAnsiTheme="majorHAnsi"/>
          <w:color w:val="auto"/>
          <w:w w:val="105"/>
          <w:sz w:val="22"/>
          <w:szCs w:val="22"/>
        </w:rPr>
        <w:t>(</w:t>
      </w:r>
      <w:r w:rsidR="008C05C0" w:rsidRPr="0008703C">
        <w:rPr>
          <w:rStyle w:val="Hyperlink"/>
          <w:rFonts w:asciiTheme="majorHAnsi" w:hAnsiTheme="majorHAnsi"/>
          <w:color w:val="auto"/>
          <w:w w:val="105"/>
          <w:sz w:val="22"/>
          <w:szCs w:val="22"/>
        </w:rPr>
        <w:t>https://www.cdc.gov/hai/organisms/cre/cre-toolkit/</w:t>
      </w:r>
      <w:r w:rsidR="009F2576" w:rsidRPr="0008703C">
        <w:rPr>
          <w:rStyle w:val="Hyperlink"/>
          <w:rFonts w:asciiTheme="majorHAnsi" w:hAnsiTheme="majorHAnsi"/>
          <w:color w:val="auto"/>
          <w:w w:val="105"/>
          <w:sz w:val="22"/>
          <w:szCs w:val="22"/>
        </w:rPr>
        <w:t>)</w:t>
      </w:r>
      <w:r w:rsidR="004C462B" w:rsidRPr="0008703C">
        <w:rPr>
          <w:rFonts w:asciiTheme="majorHAnsi" w:hAnsiTheme="majorHAnsi"/>
          <w:w w:val="105"/>
          <w:sz w:val="22"/>
          <w:szCs w:val="22"/>
        </w:rPr>
        <w:t xml:space="preserve"> </w:t>
      </w:r>
      <w:r w:rsidR="004C462B">
        <w:rPr>
          <w:rFonts w:asciiTheme="majorHAnsi" w:hAnsiTheme="majorHAnsi"/>
          <w:color w:val="1F211A"/>
          <w:w w:val="105"/>
          <w:sz w:val="22"/>
          <w:szCs w:val="22"/>
        </w:rPr>
        <w:t xml:space="preserve">and </w:t>
      </w:r>
      <w:r w:rsidR="00CD1CEA">
        <w:rPr>
          <w:rFonts w:asciiTheme="majorHAnsi" w:hAnsiTheme="majorHAnsi"/>
          <w:color w:val="1F211A"/>
          <w:w w:val="105"/>
          <w:sz w:val="22"/>
          <w:szCs w:val="22"/>
        </w:rPr>
        <w:t xml:space="preserve">the </w:t>
      </w:r>
      <w:r w:rsidR="004C462B">
        <w:rPr>
          <w:rFonts w:asciiTheme="majorHAnsi" w:hAnsiTheme="majorHAnsi"/>
          <w:color w:val="1F211A"/>
          <w:w w:val="105"/>
          <w:sz w:val="22"/>
          <w:szCs w:val="22"/>
        </w:rPr>
        <w:t xml:space="preserve">Antiobiogram Report </w:t>
      </w:r>
      <w:r w:rsidR="00CD1CEA">
        <w:rPr>
          <w:rFonts w:asciiTheme="majorHAnsi" w:hAnsiTheme="majorHAnsi"/>
          <w:color w:val="1F211A"/>
          <w:w w:val="105"/>
          <w:sz w:val="22"/>
          <w:szCs w:val="22"/>
        </w:rPr>
        <w:t xml:space="preserve">template </w:t>
      </w:r>
      <w:r w:rsidR="004C462B">
        <w:rPr>
          <w:rFonts w:asciiTheme="majorHAnsi" w:hAnsiTheme="majorHAnsi"/>
          <w:color w:val="1F211A"/>
          <w:w w:val="105"/>
          <w:sz w:val="22"/>
          <w:szCs w:val="22"/>
        </w:rPr>
        <w:t xml:space="preserve">is available at </w:t>
      </w:r>
      <w:hyperlink r:id="rId11" w:history="1">
        <w:r w:rsidR="004C462B" w:rsidRPr="004C462B">
          <w:rPr>
            <w:rStyle w:val="Hyperlink"/>
            <w:rFonts w:asciiTheme="majorHAnsi" w:hAnsiTheme="majorHAnsi"/>
            <w:w w:val="105"/>
            <w:sz w:val="22"/>
            <w:szCs w:val="22"/>
          </w:rPr>
          <w:t>http://www.vchca.org/for-health-care-providers-cmr-tb-forms</w:t>
        </w:r>
      </w:hyperlink>
      <w:r w:rsidR="004C462B">
        <w:rPr>
          <w:rFonts w:asciiTheme="majorHAnsi" w:hAnsiTheme="majorHAnsi"/>
          <w:color w:val="1F211A"/>
          <w:w w:val="105"/>
          <w:sz w:val="22"/>
          <w:szCs w:val="22"/>
        </w:rPr>
        <w:t>.</w:t>
      </w:r>
    </w:p>
    <w:p w:rsidR="00794521" w:rsidRPr="00BB61EF" w:rsidRDefault="00794521" w:rsidP="00794521">
      <w:pPr>
        <w:spacing w:before="116" w:line="294" w:lineRule="auto"/>
        <w:ind w:left="720" w:right="720"/>
        <w:jc w:val="both"/>
        <w:rPr>
          <w:rFonts w:asciiTheme="majorHAnsi" w:hAnsiTheme="majorHAnsi"/>
        </w:rPr>
      </w:pP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>For questions regarding this Order, please contact the</w:t>
      </w:r>
      <w:r>
        <w:rPr>
          <w:rFonts w:asciiTheme="majorHAnsi" w:hAnsiTheme="majorHAnsi"/>
          <w:color w:val="1F211A"/>
          <w:w w:val="105"/>
          <w:sz w:val="22"/>
          <w:szCs w:val="22"/>
        </w:rPr>
        <w:t xml:space="preserve"> VCPH 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 xml:space="preserve">Communicable Disease Control Program at </w:t>
      </w:r>
      <w:r>
        <w:rPr>
          <w:rFonts w:asciiTheme="majorHAnsi" w:hAnsiTheme="majorHAnsi"/>
          <w:color w:val="1F211A"/>
          <w:w w:val="105"/>
          <w:sz w:val="22"/>
          <w:szCs w:val="22"/>
        </w:rPr>
        <w:t>(805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 xml:space="preserve">) </w:t>
      </w:r>
      <w:r>
        <w:rPr>
          <w:rFonts w:asciiTheme="majorHAnsi" w:hAnsiTheme="majorHAnsi"/>
          <w:color w:val="1F211A"/>
          <w:w w:val="105"/>
          <w:sz w:val="22"/>
          <w:szCs w:val="22"/>
        </w:rPr>
        <w:t>981-5201</w:t>
      </w:r>
      <w:r w:rsidRPr="00BB61EF">
        <w:rPr>
          <w:rFonts w:asciiTheme="majorHAnsi" w:hAnsiTheme="majorHAnsi"/>
          <w:color w:val="1F211A"/>
          <w:w w:val="105"/>
          <w:sz w:val="22"/>
          <w:szCs w:val="22"/>
        </w:rPr>
        <w:t>.</w:t>
      </w:r>
    </w:p>
    <w:p w:rsidR="00CB3549" w:rsidRDefault="00EF2A15" w:rsidP="00234B5F">
      <w:pPr>
        <w:pStyle w:val="BodyText-"/>
        <w:tabs>
          <w:tab w:val="left" w:pos="720"/>
        </w:tabs>
        <w:ind w:left="720" w:right="720"/>
        <w:rPr>
          <w:sz w:val="20"/>
          <w:szCs w:val="20"/>
        </w:rPr>
      </w:pPr>
    </w:p>
    <w:p w:rsidR="00150044" w:rsidRDefault="00150044" w:rsidP="00234B5F">
      <w:pPr>
        <w:pStyle w:val="BodyText-"/>
        <w:tabs>
          <w:tab w:val="left" w:pos="720"/>
        </w:tabs>
        <w:ind w:left="720" w:right="720"/>
        <w:rPr>
          <w:sz w:val="20"/>
          <w:szCs w:val="20"/>
        </w:rPr>
      </w:pPr>
    </w:p>
    <w:p w:rsidR="00150044" w:rsidRDefault="00150044" w:rsidP="00234B5F">
      <w:pPr>
        <w:pStyle w:val="BodyText-"/>
        <w:tabs>
          <w:tab w:val="left" w:pos="720"/>
        </w:tabs>
        <w:ind w:left="720" w:right="720"/>
        <w:rPr>
          <w:sz w:val="20"/>
          <w:szCs w:val="20"/>
        </w:rPr>
      </w:pPr>
    </w:p>
    <w:p w:rsidR="00150044" w:rsidRPr="00A10DE1" w:rsidRDefault="00150044" w:rsidP="00234B5F">
      <w:pPr>
        <w:pStyle w:val="BodyText-"/>
        <w:tabs>
          <w:tab w:val="left" w:pos="720"/>
        </w:tabs>
        <w:ind w:left="720" w:right="720"/>
        <w:rPr>
          <w:sz w:val="20"/>
          <w:szCs w:val="20"/>
        </w:rPr>
      </w:pPr>
    </w:p>
    <w:sectPr w:rsidR="00150044" w:rsidRPr="00A10DE1" w:rsidSect="009422E8">
      <w:headerReference w:type="default" r:id="rId12"/>
      <w:type w:val="continuous"/>
      <w:pgSz w:w="12240" w:h="15840" w:code="1"/>
      <w:pgMar w:top="1440" w:right="720" w:bottom="1440" w:left="720" w:header="122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35" w:rsidRDefault="00401635">
      <w:r>
        <w:separator/>
      </w:r>
    </w:p>
  </w:endnote>
  <w:endnote w:type="continuationSeparator" w:id="0">
    <w:p w:rsidR="00401635" w:rsidRDefault="0040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38" w:rsidRDefault="00A06448">
    <w:pPr>
      <w:pStyle w:val="Footer"/>
    </w:pPr>
    <w:r w:rsidRPr="00426338">
      <w:t xml:space="preserve">Administration </w:t>
    </w:r>
  </w:p>
  <w:p w:rsidR="00CB3549" w:rsidRDefault="00A06448">
    <w:pPr>
      <w:pStyle w:val="Footer"/>
    </w:pPr>
    <w:r w:rsidRPr="00426338">
      <w:t>2240 E. Gonzales Road  •  Oxnard, California 93036  •  TEL: (805) 981-5101  •  www.vchca.org/ph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35" w:rsidRDefault="00401635">
      <w:r>
        <w:separator/>
      </w:r>
    </w:p>
  </w:footnote>
  <w:footnote w:type="continuationSeparator" w:id="0">
    <w:p w:rsidR="00401635" w:rsidRDefault="0040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49" w:rsidRDefault="00A0644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308483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HA_logo_hor_spac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8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49" w:rsidRDefault="00EF2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B23"/>
    <w:multiLevelType w:val="hybridMultilevel"/>
    <w:tmpl w:val="46F4603A"/>
    <w:lvl w:ilvl="0" w:tplc="5DD63154">
      <w:start w:val="1"/>
      <w:numFmt w:val="decimal"/>
      <w:lvlText w:val="%1."/>
      <w:lvlJc w:val="left"/>
      <w:pPr>
        <w:ind w:left="853" w:hanging="345"/>
      </w:pPr>
      <w:rPr>
        <w:rFonts w:ascii="Arial" w:eastAsia="Arial" w:hAnsi="Arial" w:hint="default"/>
        <w:color w:val="1F211A"/>
        <w:w w:val="111"/>
        <w:sz w:val="19"/>
        <w:szCs w:val="19"/>
      </w:rPr>
    </w:lvl>
    <w:lvl w:ilvl="1" w:tplc="04090001">
      <w:start w:val="1"/>
      <w:numFmt w:val="bullet"/>
      <w:lvlText w:val=""/>
      <w:lvlJc w:val="left"/>
      <w:pPr>
        <w:ind w:left="1217" w:hanging="355"/>
      </w:pPr>
      <w:rPr>
        <w:rFonts w:ascii="Symbol" w:hAnsi="Symbol" w:hint="default"/>
        <w:color w:val="1F211A"/>
        <w:w w:val="171"/>
        <w:sz w:val="19"/>
        <w:szCs w:val="19"/>
      </w:rPr>
    </w:lvl>
    <w:lvl w:ilvl="2" w:tplc="2EC6C0F0">
      <w:start w:val="1"/>
      <w:numFmt w:val="bullet"/>
      <w:lvlText w:val="•"/>
      <w:lvlJc w:val="left"/>
      <w:pPr>
        <w:ind w:left="2153" w:hanging="355"/>
      </w:pPr>
      <w:rPr>
        <w:rFonts w:hint="default"/>
      </w:rPr>
    </w:lvl>
    <w:lvl w:ilvl="3" w:tplc="2FA6676E">
      <w:start w:val="1"/>
      <w:numFmt w:val="bullet"/>
      <w:lvlText w:val="•"/>
      <w:lvlJc w:val="left"/>
      <w:pPr>
        <w:ind w:left="3089" w:hanging="355"/>
      </w:pPr>
      <w:rPr>
        <w:rFonts w:hint="default"/>
      </w:rPr>
    </w:lvl>
    <w:lvl w:ilvl="4" w:tplc="7C10D206">
      <w:start w:val="1"/>
      <w:numFmt w:val="bullet"/>
      <w:lvlText w:val="•"/>
      <w:lvlJc w:val="left"/>
      <w:pPr>
        <w:ind w:left="4024" w:hanging="355"/>
      </w:pPr>
      <w:rPr>
        <w:rFonts w:hint="default"/>
      </w:rPr>
    </w:lvl>
    <w:lvl w:ilvl="5" w:tplc="AE325428">
      <w:start w:val="1"/>
      <w:numFmt w:val="bullet"/>
      <w:lvlText w:val="•"/>
      <w:lvlJc w:val="left"/>
      <w:pPr>
        <w:ind w:left="4960" w:hanging="355"/>
      </w:pPr>
      <w:rPr>
        <w:rFonts w:hint="default"/>
      </w:rPr>
    </w:lvl>
    <w:lvl w:ilvl="6" w:tplc="E444C058">
      <w:start w:val="1"/>
      <w:numFmt w:val="bullet"/>
      <w:lvlText w:val="•"/>
      <w:lvlJc w:val="left"/>
      <w:pPr>
        <w:ind w:left="5896" w:hanging="355"/>
      </w:pPr>
      <w:rPr>
        <w:rFonts w:hint="default"/>
      </w:rPr>
    </w:lvl>
    <w:lvl w:ilvl="7" w:tplc="637032C0">
      <w:start w:val="1"/>
      <w:numFmt w:val="bullet"/>
      <w:lvlText w:val="•"/>
      <w:lvlJc w:val="left"/>
      <w:pPr>
        <w:ind w:left="6832" w:hanging="355"/>
      </w:pPr>
      <w:rPr>
        <w:rFonts w:hint="default"/>
      </w:rPr>
    </w:lvl>
    <w:lvl w:ilvl="8" w:tplc="7644908C">
      <w:start w:val="1"/>
      <w:numFmt w:val="bullet"/>
      <w:lvlText w:val="•"/>
      <w:lvlJc w:val="left"/>
      <w:pPr>
        <w:ind w:left="7768" w:hanging="355"/>
      </w:pPr>
      <w:rPr>
        <w:rFonts w:hint="default"/>
      </w:rPr>
    </w:lvl>
  </w:abstractNum>
  <w:abstractNum w:abstractNumId="1" w15:restartNumberingAfterBreak="0">
    <w:nsid w:val="4B3B4C81"/>
    <w:multiLevelType w:val="hybridMultilevel"/>
    <w:tmpl w:val="D4D45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006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4A"/>
    <w:rsid w:val="0008703C"/>
    <w:rsid w:val="000E3B4A"/>
    <w:rsid w:val="00150044"/>
    <w:rsid w:val="00234B5F"/>
    <w:rsid w:val="00237778"/>
    <w:rsid w:val="00401635"/>
    <w:rsid w:val="004C462B"/>
    <w:rsid w:val="004E1CA9"/>
    <w:rsid w:val="00596215"/>
    <w:rsid w:val="00673F2C"/>
    <w:rsid w:val="00794521"/>
    <w:rsid w:val="008C05C0"/>
    <w:rsid w:val="009F2576"/>
    <w:rsid w:val="00A06448"/>
    <w:rsid w:val="00A10DE1"/>
    <w:rsid w:val="00A52037"/>
    <w:rsid w:val="00B613F0"/>
    <w:rsid w:val="00C42FA7"/>
    <w:rsid w:val="00CD1CEA"/>
    <w:rsid w:val="00DE2647"/>
    <w:rsid w:val="00E4123C"/>
    <w:rsid w:val="00EF2A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6b94"/>
    </o:shapedefaults>
    <o:shapelayout v:ext="edit">
      <o:idmap v:ext="edit" data="1"/>
    </o:shapelayout>
  </w:shapeDefaults>
  <w:decimalSymbol w:val="."/>
  <w:listSeparator w:val=","/>
  <w15:docId w15:val="{517305A0-8862-4186-B086-1DB85D1A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F2458"/>
    <w:pPr>
      <w:tabs>
        <w:tab w:val="center" w:pos="4320"/>
        <w:tab w:val="right" w:pos="8640"/>
      </w:tabs>
    </w:pPr>
    <w:rPr>
      <w:rFonts w:asciiTheme="majorHAnsi" w:hAnsiTheme="majorHAnsi"/>
      <w:color w:val="FFFFFF" w:themeColor="background1"/>
      <w:sz w:val="22"/>
      <w:szCs w:val="24"/>
    </w:rPr>
  </w:style>
  <w:style w:type="paragraph" w:styleId="Footer">
    <w:name w:val="footer"/>
    <w:rsid w:val="00574B40"/>
    <w:pPr>
      <w:pBdr>
        <w:top w:val="single" w:sz="6" w:space="6" w:color="006B9E" w:themeColor="text2"/>
      </w:pBdr>
      <w:tabs>
        <w:tab w:val="center" w:pos="4320"/>
        <w:tab w:val="right" w:pos="8640"/>
      </w:tabs>
      <w:jc w:val="center"/>
    </w:pPr>
    <w:rPr>
      <w:rFonts w:asciiTheme="majorHAnsi" w:hAnsiTheme="majorHAnsi"/>
      <w:color w:val="006B9E" w:themeColor="text2"/>
      <w:sz w:val="16"/>
      <w:szCs w:val="24"/>
    </w:rPr>
  </w:style>
  <w:style w:type="paragraph" w:styleId="BalloonText">
    <w:name w:val="Balloon Text"/>
    <w:basedOn w:val="Normal"/>
    <w:link w:val="BalloonTextChar"/>
    <w:rsid w:val="008F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orName-">
    <w:name w:val="Director Name-"/>
    <w:rsid w:val="009A749F"/>
    <w:pPr>
      <w:spacing w:before="180"/>
    </w:pPr>
    <w:rPr>
      <w:rFonts w:asciiTheme="majorHAnsi" w:hAnsiTheme="majorHAnsi"/>
      <w:b/>
      <w:color w:val="000000" w:themeColor="text1"/>
      <w:sz w:val="16"/>
      <w:szCs w:val="24"/>
    </w:rPr>
  </w:style>
  <w:style w:type="paragraph" w:customStyle="1" w:styleId="CompanyRole-">
    <w:name w:val="Company Role-"/>
    <w:qFormat/>
    <w:rsid w:val="009A749F"/>
    <w:rPr>
      <w:rFonts w:asciiTheme="majorHAnsi" w:hAnsiTheme="majorHAnsi"/>
      <w:color w:val="000000" w:themeColor="text1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E7553"/>
    <w:rPr>
      <w:color w:val="808080"/>
    </w:rPr>
  </w:style>
  <w:style w:type="paragraph" w:customStyle="1" w:styleId="Date-">
    <w:name w:val="Date-"/>
    <w:qFormat/>
    <w:rsid w:val="008B4628"/>
    <w:pPr>
      <w:spacing w:after="480"/>
    </w:pPr>
    <w:rPr>
      <w:rFonts w:ascii="Palatino Linotype" w:hAnsi="Palatino Linotype"/>
      <w:sz w:val="22"/>
      <w:szCs w:val="22"/>
    </w:rPr>
  </w:style>
  <w:style w:type="paragraph" w:customStyle="1" w:styleId="BodyText-">
    <w:name w:val="Body Text-"/>
    <w:qFormat/>
    <w:rsid w:val="008B4628"/>
    <w:pPr>
      <w:spacing w:before="180" w:after="60"/>
      <w:outlineLvl w:val="0"/>
    </w:pPr>
    <w:rPr>
      <w:rFonts w:ascii="Palatino Linotype" w:hAnsi="Palatino Linotype"/>
      <w:sz w:val="22"/>
      <w:szCs w:val="22"/>
    </w:rPr>
  </w:style>
  <w:style w:type="paragraph" w:customStyle="1" w:styleId="HeadDirector-">
    <w:name w:val="Head Director-"/>
    <w:qFormat/>
    <w:rsid w:val="009A749F"/>
    <w:rPr>
      <w:rFonts w:asciiTheme="majorHAnsi" w:hAnsiTheme="majorHAnsi"/>
      <w:b/>
      <w:color w:val="000000" w:themeColor="text1"/>
    </w:rPr>
  </w:style>
  <w:style w:type="paragraph" w:customStyle="1" w:styleId="HeadDirectorTitle-">
    <w:name w:val="Head Director Title-"/>
    <w:next w:val="DirectorName-"/>
    <w:qFormat/>
    <w:rsid w:val="009A749F"/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1"/>
    <w:qFormat/>
    <w:rsid w:val="0079452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794521"/>
    <w:rPr>
      <w:color w:val="1F497D" w:themeColor="hyperlink"/>
      <w:u w:val="single"/>
    </w:rPr>
  </w:style>
  <w:style w:type="character" w:styleId="FollowedHyperlink">
    <w:name w:val="FollowedHyperlink"/>
    <w:basedOn w:val="DefaultParagraphFont"/>
    <w:rsid w:val="00794521"/>
    <w:rPr>
      <w:color w:val="F79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chca.org/for-health-care-providers-cmr-tb-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hai/organisms/cre/cre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hca.org/for-health-care-providers-cmr-tb-form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787AD6D7842F58606A1A5264F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4627-92BE-4743-96D9-F148DC7A4C1C}"/>
      </w:docPartPr>
      <w:docPartBody>
        <w:p w:rsidR="00891B78" w:rsidRDefault="00891B78">
          <w:pPr>
            <w:pStyle w:val="920787AD6D7842F58606A1A5264F4D3D"/>
          </w:pPr>
          <w:r w:rsidRPr="005C42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8"/>
    <w:rsid w:val="003F66D6"/>
    <w:rsid w:val="007512C7"/>
    <w:rsid w:val="008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0787AD6D7842F58606A1A5264F4D3D">
    <w:name w:val="920787AD6D7842F58606A1A5264F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HA colors">
      <a:dk1>
        <a:sysClr val="windowText" lastClr="000000"/>
      </a:dk1>
      <a:lt1>
        <a:sysClr val="window" lastClr="FFFFFF"/>
      </a:lt1>
      <a:dk2>
        <a:srgbClr val="006B9E"/>
      </a:dk2>
      <a:lt2>
        <a:srgbClr val="EEECE1"/>
      </a:lt2>
      <a:accent1>
        <a:srgbClr val="00ABE3"/>
      </a:accent1>
      <a:accent2>
        <a:srgbClr val="C0504D"/>
      </a:accent2>
      <a:accent3>
        <a:srgbClr val="9BBB59"/>
      </a:accent3>
      <a:accent4>
        <a:srgbClr val="333333"/>
      </a:accent4>
      <a:accent5>
        <a:srgbClr val="4BACC6"/>
      </a:accent5>
      <a:accent6>
        <a:srgbClr val="F79646"/>
      </a:accent6>
      <a:hlink>
        <a:srgbClr val="1F497D"/>
      </a:hlink>
      <a:folHlink>
        <a:srgbClr val="F79646"/>
      </a:folHlink>
    </a:clrScheme>
    <a:fontScheme name="VCHA fonts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30, 2010</vt:lpstr>
    </vt:vector>
  </TitlesOfParts>
  <Company>A.Guys Creations</Company>
  <LinksUpToDate>false</LinksUpToDate>
  <CharactersWithSpaces>4166</CharactersWithSpaces>
  <SharedDoc>false</SharedDoc>
  <HLinks>
    <vt:vector size="6" baseType="variant">
      <vt:variant>
        <vt:i4>4718600</vt:i4>
      </vt:variant>
      <vt:variant>
        <vt:i4>-1</vt:i4>
      </vt:variant>
      <vt:variant>
        <vt:i4>2062</vt:i4>
      </vt:variant>
      <vt:variant>
        <vt:i4>1</vt:i4>
      </vt:variant>
      <vt:variant>
        <vt:lpwstr>VC_Lthd_header_2012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30, 2010</dc:title>
  <dc:creator>Erika Perez</dc:creator>
  <cp:lastModifiedBy>Soltero-Perez, Erika</cp:lastModifiedBy>
  <cp:revision>2</cp:revision>
  <cp:lastPrinted>2015-10-20T00:13:00Z</cp:lastPrinted>
  <dcterms:created xsi:type="dcterms:W3CDTF">2017-05-08T18:10:00Z</dcterms:created>
  <dcterms:modified xsi:type="dcterms:W3CDTF">2017-05-08T18:10:00Z</dcterms:modified>
</cp:coreProperties>
</file>